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Resilience Factors (adapted from Acestoohigh.com)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400"/>
      </w:tblPr>
      <w:tblGrid>
        <w:gridCol w:w="8430"/>
        <w:gridCol w:w="600"/>
        <w:tblGridChange w:id="0">
          <w:tblGrid>
            <w:gridCol w:w="8430"/>
            <w:gridCol w:w="600"/>
          </w:tblGrid>
        </w:tblGridChange>
      </w:tblGrid>
      <w:tr>
        <w:trPr>
          <w:cantSplit w:val="0"/>
          <w:trHeight w:val="1383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24" w:val="single"/>
              <w:right w:color="000000" w:space="0" w:sz="18" w:val="single"/>
            </w:tcBorders>
            <w:shd w:fill="ffe7cc" w:val="clear"/>
          </w:tcPr>
          <w:p w:rsidR="00000000" w:rsidDel="00000000" w:rsidP="00000000" w:rsidRDefault="00000000" w:rsidRPr="00000000" w14:paraId="00000003">
            <w:pPr>
              <w:spacing w:after="0" w:before="89" w:line="240" w:lineRule="auto"/>
              <w:ind w:left="236" w:right="8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Instructions: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Below is a list of 10 categories of Resilience Factors (RFs). From the list below, please place a checkmark next to each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esilience category that you experienced prior to your 18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birthday. Then, please add up the number of categories of RFs you experienced and put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total number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 the bottom.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24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</w:tcPr>
          <w:p w:rsidR="00000000" w:rsidDel="00000000" w:rsidP="00000000" w:rsidRDefault="00000000" w:rsidRPr="00000000" w14:paraId="00000005">
            <w:pPr>
              <w:spacing w:after="0" w:before="156" w:line="240" w:lineRule="auto"/>
              <w:ind w:left="232" w:right="162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 believe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that your mother loved you as a child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  <w:shd w:fill="daeeef" w:val="clear"/>
          </w:tcPr>
          <w:p w:rsidR="00000000" w:rsidDel="00000000" w:rsidP="00000000" w:rsidRDefault="00000000" w:rsidRPr="00000000" w14:paraId="00000007">
            <w:pPr>
              <w:spacing w:after="0" w:before="160" w:line="240" w:lineRule="auto"/>
              <w:ind w:left="23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 believe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that your father loved you as a child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  <w:shd w:fill="daeeef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before="162" w:line="240" w:lineRule="auto"/>
              <w:ind w:left="23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 have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relatives or caregivers who cared for you as an infant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  <w:shd w:fill="daeeef" w:val="clear"/>
          </w:tcPr>
          <w:p w:rsidR="00000000" w:rsidDel="00000000" w:rsidP="00000000" w:rsidRDefault="00000000" w:rsidRPr="00000000" w14:paraId="0000000B">
            <w:pPr>
              <w:spacing w:after="0" w:before="146" w:line="240" w:lineRule="auto"/>
              <w:ind w:left="232" w:right="2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have neighbours, friends’ parents, teachers, coaches, or ministers who liked you and helped you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  <w:shd w:fill="daeeef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0" w:before="144" w:line="240" w:lineRule="auto"/>
              <w:ind w:left="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 have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someone who cared for how you did in school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  <w:shd w:fill="daeeef" w:val="clear"/>
          </w:tcPr>
          <w:p w:rsidR="00000000" w:rsidDel="00000000" w:rsidP="00000000" w:rsidRDefault="00000000" w:rsidRPr="00000000" w14:paraId="0000000F">
            <w:pPr>
              <w:spacing w:after="0" w:before="179" w:line="240" w:lineRule="auto"/>
              <w:ind w:left="21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have clear rules in your house that you could follow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  <w:shd w:fill="daeeef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before="162" w:line="240" w:lineRule="auto"/>
              <w:ind w:left="2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you have someone you trusted to talk to when needed?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  <w:shd w:fill="daeeef" w:val="clear"/>
          </w:tcPr>
          <w:p w:rsidR="00000000" w:rsidDel="00000000" w:rsidP="00000000" w:rsidRDefault="00000000" w:rsidRPr="00000000" w14:paraId="00000013">
            <w:pPr>
              <w:spacing w:after="0" w:before="160" w:line="240" w:lineRule="auto"/>
              <w:ind w:left="2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you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have people who saw you as capable?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  <w:shd w:fill="daeee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79797c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before="167" w:line="240" w:lineRule="auto"/>
              <w:ind w:left="23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Were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you independent and a go-getter?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8" w:val="single"/>
              <w:left w:color="79797c" w:space="0" w:sz="8" w:val="single"/>
              <w:bottom w:color="79797c" w:space="0" w:sz="8" w:val="single"/>
              <w:right w:color="79797c" w:space="0" w:sz="8" w:val="single"/>
            </w:tcBorders>
            <w:shd w:fill="daeeef" w:val="clear"/>
          </w:tcPr>
          <w:p w:rsidR="00000000" w:rsidDel="00000000" w:rsidP="00000000" w:rsidRDefault="00000000" w:rsidRPr="00000000" w14:paraId="00000017">
            <w:pPr>
              <w:spacing w:after="0" w:before="146" w:line="240" w:lineRule="auto"/>
              <w:ind w:left="2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you have a belief that life is what you make of it?</w:t>
            </w:r>
          </w:p>
          <w:p w:rsidR="00000000" w:rsidDel="00000000" w:rsidP="00000000" w:rsidRDefault="00000000" w:rsidRPr="00000000" w14:paraId="00000018">
            <w:pPr>
              <w:spacing w:after="0" w:before="146" w:line="240" w:lineRule="auto"/>
              <w:ind w:left="2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9797c" w:space="0" w:sz="8" w:val="single"/>
              <w:bottom w:color="000000" w:space="0" w:sz="8" w:val="single"/>
              <w:right w:color="000000" w:space="0" w:sz="8" w:val="single"/>
            </w:tcBorders>
            <w:shd w:fill="daeee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79797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before="14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resilience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 score is the total number of checked responses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202" w:line="240" w:lineRule="auto"/>
        <w:ind w:left="1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believe that these experiences have </w:t>
      </w:r>
      <w:r w:rsidDel="00000000" w:rsidR="00000000" w:rsidRPr="00000000">
        <w:rPr>
          <w:sz w:val="24"/>
          <w:szCs w:val="24"/>
          <w:rtl w:val="0"/>
        </w:rPr>
        <w:t xml:space="preserve">helped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you?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subscript"/>
        </w:rPr>
        <w:drawing>
          <wp:inline distB="0" distT="0" distL="0" distR="0">
            <wp:extent cx="228600" cy="228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Not Much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subscript"/>
        </w:rPr>
        <w:drawing>
          <wp:inline distB="0" distT="0" distL="0" distR="0">
            <wp:extent cx="228600" cy="2286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Some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subscript"/>
        </w:rPr>
        <w:drawing>
          <wp:inline distB="0" distT="0" distL="0" distR="0">
            <wp:extent cx="228600" cy="2286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323" w:line="240" w:lineRule="auto"/>
        <w:ind w:left="2359" w:right="239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mbria" w:cs="Cambria" w:eastAsia="Cambria" w:hAnsi="Cambria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03F0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03F0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503F06"/>
    <w:pPr>
      <w:keepNext w:val="1"/>
      <w:keepLines w:val="1"/>
      <w:spacing w:after="80" w:before="160"/>
      <w:outlineLvl w:val="2"/>
    </w:pPr>
    <w:rPr>
      <w:rFonts w:cstheme="majorBidi" w:eastAsiaTheme="majorEastAsia"/>
      <w:color w:val="365f9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03F0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03F06"/>
    <w:pPr>
      <w:keepNext w:val="1"/>
      <w:keepLines w:val="1"/>
      <w:spacing w:after="40" w:before="80"/>
      <w:outlineLvl w:val="4"/>
    </w:pPr>
    <w:rPr>
      <w:rFonts w:cstheme="majorBidi" w:eastAsiaTheme="majorEastAsia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03F0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03F0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03F0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03F0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3F06"/>
    <w:rPr>
      <w:rFonts w:asciiTheme="majorHAnsi" w:cstheme="majorBidi" w:eastAsiaTheme="majorEastAsia" w:hAnsiTheme="majorHAnsi"/>
      <w:color w:val="365f9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03F06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03F06"/>
    <w:rPr>
      <w:rFonts w:cstheme="majorBidi" w:eastAsiaTheme="majorEastAsia"/>
      <w:color w:val="365f9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03F06"/>
    <w:rPr>
      <w:rFonts w:cstheme="majorBidi" w:eastAsiaTheme="majorEastAsia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03F06"/>
    <w:rPr>
      <w:rFonts w:cstheme="majorBidi" w:eastAsiaTheme="majorEastAsia"/>
      <w:color w:val="365f9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03F0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03F0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03F0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03F0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03F0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3F0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03F06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3F0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03F0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03F0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1"/>
    <w:qFormat w:val="1"/>
    <w:rsid w:val="00503F0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03F06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03F06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3F06"/>
    <w:rPr>
      <w:i w:val="1"/>
      <w:iCs w:val="1"/>
      <w:color w:val="365f9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03F06"/>
    <w:rPr>
      <w:b w:val="1"/>
      <w:bCs w:val="1"/>
      <w:smallCaps w:val="1"/>
      <w:color w:val="365f91" w:themeColor="accent1" w:themeShade="0000BF"/>
      <w:spacing w:val="5"/>
    </w:rPr>
  </w:style>
  <w:style w:type="paragraph" w:styleId="BodyText">
    <w:name w:val="Body Text"/>
    <w:basedOn w:val="Normal"/>
    <w:link w:val="BodyTextChar"/>
    <w:uiPriority w:val="1"/>
    <w:qFormat w:val="1"/>
    <w:rsid w:val="00503F06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503F06"/>
    <w:rPr>
      <w:rFonts w:ascii="Calibri" w:cs="Calibri" w:eastAsia="Calibri" w:hAnsi="Calibri"/>
      <w:kern w:val="0"/>
      <w:sz w:val="24"/>
      <w:szCs w:val="24"/>
      <w:lang w:val="en-US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akc777kWL2U4bqkjDZECWukhA==">CgMxLjA4AHIhMVJ3c0d1QkV3Rk1sOEZNX0F6NmZneHFWZlpyeHBjV1Bs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2024-09-22T16:35:00Z</dcterms:created>
  <dc:creator>JONES, Patrizia (SUSSEX COMMUNITY NHS FOUNDATION TRUST)</dc:creator>
</cp:coreProperties>
</file>